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theme/theme1.xml" ContentType="application/vnd.openxmlformats-officedocument.theme+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FA6E4E" w:rsidR="005F7717" w:rsidP="00FA6E4E" w:rsidRDefault="00A60D06">
      <w:pPr>
        <w:pStyle w:val="Heading110"/>
        <w:keepNext/>
        <w:keepLines/>
        <w:shd w:val="clear" w:color="auto" w:fill="auto"/>
        <w:spacing w:after="0" w:line="240" w:lineRule="auto"/>
        <w:ind w:right="198"/>
        <w:jc w:val="left"/>
        <w:rPr>
          <w:b w:val="0"/>
          <w:sz w:val="6"/>
        </w:rPr>
      </w:pPr>
      <w:bookmarkStart w:id="0" w:name="bookmark0"/>
      <w:r>
        <w:drawing>
          <wp:anchor distT="0" distB="0" distL="63500" distR="164465" simplePos="0" relativeHeight="251657728" behindDoc="1" locked="0" layoutInCell="1" allowOverlap="1" wp14:editId="58817F5B" wp14:anchorId="307D786B">
            <wp:simplePos x="0" y="0"/>
            <wp:positionH relativeFrom="margin">
              <wp:posOffset>21921</wp:posOffset>
            </wp:positionH>
            <wp:positionV relativeFrom="paragraph">
              <wp:posOffset>387681</wp:posOffset>
            </wp:positionV>
            <wp:extent cx="1609090" cy="883920"/>
            <wp:effectExtent l="0" t="0" r="0" b="0"/>
            <wp:wrapSquare wrapText="right"/>
            <wp:docPr id="2" name="Picture 2"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9090" cy="883920"/>
                    </a:xfrm>
                    <a:prstGeom prst="rect">
                      <a:avLst/>
                    </a:prstGeom>
                    <a:noFill/>
                  </pic:spPr>
                </pic:pic>
              </a:graphicData>
            </a:graphic>
            <wp14:sizeRelH relativeFrom="page">
              <wp14:pctWidth>0</wp14:pctWidth>
            </wp14:sizeRelH>
            <wp14:sizeRelV relativeFrom="page">
              <wp14:pctHeight>0</wp14:pctHeight>
            </wp14:sizeRelV>
          </wp:anchor>
        </w:drawing>
      </w:r>
      <w:r>
        <w:rPr>
          <w:b w:val="0"/>
          <w:sz w:val="20"/>
        </w:rPr>
        <mc:AlternateContent>
          <mc:Choice Requires="wps">
            <w:drawing>
              <wp:anchor distT="0" distB="0" distL="114300" distR="114300" simplePos="0" relativeHeight="251659776" behindDoc="1" locked="0" layoutInCell="0" allowOverlap="1" wp14:editId="3BEDE8FE" wp14:anchorId="7AFFA1C4">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5F7717" w:rsidRDefault="005F7717">
                            <w:pPr>
                              <w:jc w:val="center"/>
                              <w:rPr>
                                <w:b/>
                                <w:bCs/>
                                <w:sz w:val="48"/>
                                <w:rFonts w:ascii="Arial" w:hAnsi="Arial" w:cs="Arial"/>
                              </w:rPr>
                            </w:pPr>
                            <w:r>
                              <w:rPr>
                                <w:b/>
                                <w:bCs/>
                                <w:sz w:val="48"/>
                                <w:rFonts w:ascii="Arial" w:hAnsi="Arial"/>
                              </w:rPr>
                              <w:t xml:space="preserve">LV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style="position:absolute;margin-left:533pt;margin-top:793.8pt;width:51pt;height:31.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v:textbox>
                  <w:txbxContent>
                    <w:p w:rsidRPr="00260E65" w:rsidR="005F7717" w:rsidRDefault="005F7717">
                      <w:pPr>
                        <w:jc w:val="center"/>
                        <w:rPr>
                          <w:b/>
                          <w:bCs/>
                          <w:sz w:val="48"/>
                          <w:rFonts w:ascii="Arial" w:hAnsi="Arial" w:cs="Arial"/>
                        </w:rPr>
                      </w:pPr>
                      <w:r>
                        <w:rPr>
                          <w:b/>
                          <w:bCs/>
                          <w:sz w:val="48"/>
                          <w:rFonts w:ascii="Arial" w:hAnsi="Arial"/>
                        </w:rPr>
                        <w:t xml:space="preserve">LV</w:t>
                      </w:r>
                    </w:p>
                  </w:txbxContent>
                </v:textbox>
                <w10:wrap anchorx="page" anchory="page"/>
              </v:shape>
            </w:pict>
          </mc:Fallback>
        </mc:AlternateContent>
      </w:r>
    </w:p>
    <w:p w:rsidRPr="00FA6E4E" w:rsidR="007D1F4E" w:rsidP="00FA6E4E" w:rsidRDefault="00C87E7D">
      <w:pPr>
        <w:pStyle w:val="Heading110"/>
        <w:keepNext/>
        <w:keepLines/>
        <w:shd w:val="clear" w:color="auto" w:fill="auto"/>
        <w:ind w:right="200"/>
      </w:pPr>
      <w:r>
        <w:t xml:space="preserve">Klimata politikas simulācija: jaunattīstības valstis</w:t>
      </w:r>
      <w:bookmarkEnd w:id="0"/>
    </w:p>
    <w:p w:rsidRPr="00FA6E4E" w:rsidR="007D1F4E" w:rsidP="00FA6E4E" w:rsidRDefault="00C87E7D">
      <w:pPr>
        <w:pStyle w:val="Bodytext30"/>
        <w:shd w:val="clear" w:color="auto" w:fill="auto"/>
        <w:tabs>
          <w:tab w:val="left" w:pos="994"/>
        </w:tabs>
        <w:spacing w:before="0" w:after="120"/>
        <w:ind w:left="400"/>
      </w:pPr>
      <w:r>
        <w:t xml:space="preserve">Adresāts:</w:t>
      </w:r>
      <w:r>
        <w:tab/>
      </w:r>
      <w:r>
        <w:t xml:space="preserve">Sarunu vadītāji, kuri pārstāv jaunattīstības valstis</w:t>
      </w:r>
    </w:p>
    <w:p w:rsidRPr="00FA6E4E" w:rsidR="007D1F4E" w:rsidP="00FA6E4E" w:rsidRDefault="00C87E7D">
      <w:pPr>
        <w:pStyle w:val="Bodytext20"/>
        <w:shd w:val="clear" w:color="auto" w:fill="auto"/>
        <w:ind w:left="3828" w:firstLine="0"/>
        <w:jc w:val="both"/>
      </w:pPr>
      <w:r>
        <w:t xml:space="preserve">(Vairāk nekā 100 valstis Dienvidaustrumāzijā, lielākā daļa Centrālamerikas un Dienvidamerikas valstu, lielākā daļa Āfrikas valstu, mazas salu valstis un daudzas Tuvo Austrumu valstis)</w:t>
      </w:r>
    </w:p>
    <w:p w:rsidRPr="00FA6E4E" w:rsidR="007D1F4E" w:rsidP="00FA6E4E" w:rsidRDefault="00C87E7D">
      <w:pPr>
        <w:pStyle w:val="Bodytext30"/>
        <w:shd w:val="clear" w:color="auto" w:fill="auto"/>
        <w:tabs>
          <w:tab w:val="left" w:pos="994"/>
        </w:tabs>
        <w:spacing w:before="0" w:after="120"/>
        <w:ind w:left="400"/>
      </w:pPr>
      <w:r>
        <w:t xml:space="preserve">Temats:</w:t>
      </w:r>
      <w:r>
        <w:t xml:space="preserve"> </w:t>
        <w:tab/>
      </w:r>
      <w:r>
        <w:t xml:space="preserve">Gatavošanās samitam par klimata politiku</w:t>
      </w:r>
    </w:p>
    <w:p w:rsidR="0063415F" w:rsidP="00FA6E4E" w:rsidRDefault="0063415F">
      <w:pPr>
        <w:pStyle w:val="Bodytext20"/>
        <w:shd w:val="clear" w:color="auto" w:fill="auto"/>
        <w:ind w:firstLine="0"/>
        <w:jc w:val="both"/>
      </w:pPr>
      <w:r>
        <w:t xml:space="preserve">Esiet sveicināti samitā par klimata politiku!</w:t>
      </w:r>
      <w:r>
        <w:t xml:space="preserve"> </w:t>
      </w:r>
      <w:r>
        <w:t xml:space="preserve">Jūs un visu ieinteresēto grupu vadītāji esat saņēmuši ANO ģenerālsekretāra uzaicinājumu sadarboties, lai sekmīgi risinātu klimata pārmaiņu jautājumu.</w:t>
      </w:r>
      <w:r>
        <w:t xml:space="preserve"> </w:t>
      </w:r>
      <w:r>
        <w:t xml:space="preserve">Ielūgumā ģenerālsekretārs </w:t>
      </w:r>
      <w:r>
        <w:rPr>
          <w:color w:val="0000FF"/>
          <w:u w:val="single"/>
        </w:rPr>
        <w:t xml:space="preserve">ir norādījis</w:t>
      </w:r>
      <w:r>
        <w:t xml:space="preserve">:“Ārkārtas stāvoklis klimata jomā ir sacensība, kurā mēs šobrīd zaudējam, bet kurā mēs vēl varam uzvarēt (..). Nopietni zinātniski pētījumi (..) liecina, ka temperatūras paaugstināšanās par vairāk nekā 1,5°C nodarīs milzīgu un neatgriezenisku kaitējumu ekosistēmām, kas mūs uztur (..).</w:t>
      </w:r>
      <w:r>
        <w:t xml:space="preserve"> </w:t>
      </w:r>
      <w:r>
        <w:t xml:space="preserve">Taču, pēc zinātnieku domām, vēl nav par vēlu.</w:t>
      </w:r>
      <w:r>
        <w:t xml:space="preserve"> </w:t>
      </w:r>
      <w:r>
        <w:t xml:space="preserve">Mēs to varam (..).</w:t>
      </w:r>
      <w:r>
        <w:t xml:space="preserve"> </w:t>
      </w:r>
      <w:r>
        <w:t xml:space="preserve">Taču būs nepieciešamas fundamentālas pārmaiņas visos sabiedrības uzvedības aspektos — būs jāmaina tas, kā audzējam pārtiku un izmantojam zemi, ar kādu degvielu darbinām transportu un kādu enerģiju nodrošinām ekonomikas vajadzībām (..).</w:t>
      </w:r>
      <w:r>
        <w:t xml:space="preserve"> </w:t>
      </w:r>
      <w:r>
        <w:t xml:space="preserve">Rīkodamies kopā, mēs nevienu neatstāsim novārtā.”</w:t>
      </w:r>
    </w:p>
    <w:p w:rsidRPr="00FA6E4E" w:rsidR="007D1F4E" w:rsidP="00FA6E4E" w:rsidRDefault="0063415F">
      <w:pPr>
        <w:pStyle w:val="Bodytext20"/>
        <w:shd w:val="clear" w:color="auto" w:fill="auto"/>
        <w:ind w:firstLine="0"/>
        <w:jc w:val="both"/>
      </w:pPr>
      <w:r>
        <w:t xml:space="preserve">Samita mērķis ir izstrādāt plānu, kā ierobežot globālo sasilšanu, lai tā nepārsniegtu 2°C [3,6°F] salīdzinājumā ar pirmsindustriālā laikmeta līmeni, un censties panākt, lai tā nepārsniedz 1,5°C [2,7°F], proti, starptautiskos mērķus, kas oficiāli atzīti Parīzes nolīgumā par klimata pārmaiņām.</w:t>
      </w:r>
      <w:r>
        <w:t xml:space="preserve"> </w:t>
      </w:r>
      <w:r>
        <w:rPr>
          <w:color w:val="0000FF"/>
          <w:u w:val="single"/>
        </w:rPr>
        <w:t xml:space="preserve">Zinātniskie pierādījumi</w:t>
      </w:r>
      <w:r>
        <w:t xml:space="preserve"> ir nepārprotami: sasilšana, kas pārsniedz minētās robežas, radīs katastrofālu un neatgriezenisku ietekmi, kura apdraudēs visu pasaules valstu iedzīvotāju veselību, labklājību un pat dzīvību.</w:t>
      </w:r>
    </w:p>
    <w:p w:rsidRPr="00FA6E4E" w:rsidR="007D1F4E" w:rsidP="00FA6E4E" w:rsidRDefault="00C87E7D">
      <w:pPr>
        <w:pStyle w:val="Bodytext20"/>
        <w:shd w:val="clear" w:color="auto" w:fill="auto"/>
        <w:ind w:firstLine="0"/>
        <w:jc w:val="both"/>
      </w:pPr>
      <w:r>
        <w:t xml:space="preserve">Jūs pārstāvat pasaulē vismazāk attīstītās valstis.</w:t>
      </w:r>
      <w:r>
        <w:t xml:space="preserve"> </w:t>
      </w:r>
      <w:r>
        <w:t xml:space="preserve">To kopējais iedzīvotāju skaits ir aptuveni 2,9 miljardi, kas ir aptuveni 38 % no kopējā iedzīvotāju skaita pasaulē (7,7 miljardi), turklāt tas strauji palielinās.</w:t>
      </w:r>
      <w:r>
        <w:t xml:space="preserve"> </w:t>
      </w:r>
      <w:r>
        <w:t xml:space="preserve">Tomēr kopā jūsu valstis rada vien 16 % no pasaules ekonomikas produkcijas, to IKP (iekšzemes kopprodukts) uz vienu iedzīvotāju ir zemāks nekā attīstītajās valstīs un nabadzīgo iedzīvotāju skaits — daudz lielāks.</w:t>
      </w:r>
    </w:p>
    <w:p w:rsidRPr="00FA6E4E" w:rsidR="007D1F4E" w:rsidP="00FA6E4E" w:rsidRDefault="00C87E7D">
      <w:pPr>
        <w:pStyle w:val="Bodytext20"/>
        <w:shd w:val="clear" w:color="auto" w:fill="auto"/>
        <w:spacing w:line="244" w:lineRule="exact"/>
        <w:ind w:left="400"/>
        <w:jc w:val="both"/>
      </w:pPr>
      <w:r>
        <w:t xml:space="preserve">Tālāk norādītas jūsu politikas prioritātes.</w:t>
      </w:r>
      <w:r>
        <w:t xml:space="preserve"> </w:t>
      </w:r>
      <w:r>
        <w:t xml:space="preserve">Jūs varat gan ierosināt, gan bloķēt jebkuru citu politikas pasākumu.</w:t>
      </w:r>
    </w:p>
    <w:p w:rsidRPr="00FA6E4E" w:rsidR="007D1F4E" w:rsidP="00FA6E4E" w:rsidRDefault="00C87E7D">
      <w:pPr>
        <w:pStyle w:val="Bodytext30"/>
        <w:numPr>
          <w:ilvl w:val="0"/>
          <w:numId w:val="1"/>
        </w:numPr>
        <w:shd w:val="clear" w:color="auto" w:fill="auto"/>
        <w:tabs>
          <w:tab w:val="left" w:pos="362"/>
        </w:tabs>
        <w:spacing w:before="0" w:after="120"/>
        <w:ind w:left="400"/>
      </w:pPr>
      <w:r>
        <w:t xml:space="preserve">Subsidēt atjaunojamo energoresursu enerģijas ieguvi (piemēram, saules enerģijas, vēja enerģijas, ģeotermālās enerģijas, hidroenerģijas ieguvi un enerģijas uzglabāšanu).</w:t>
      </w:r>
    </w:p>
    <w:p w:rsidRPr="00FA6E4E" w:rsidR="007D1F4E" w:rsidP="00FA6E4E" w:rsidRDefault="00C87E7D">
      <w:pPr>
        <w:pStyle w:val="Bodytext20"/>
        <w:shd w:val="clear" w:color="auto" w:fill="auto"/>
        <w:ind w:left="400" w:firstLine="0"/>
        <w:jc w:val="both"/>
      </w:pPr>
      <w:r>
        <w:rPr>
          <w:rStyle w:val="Bodytext23"/>
        </w:rPr>
        <w:t xml:space="preserve">Atjaunojamo energoresursu nozare strauji attīstās, tomēr joprojām nodrošina mazāk par 5 % no enerģijas piedāvājuma pasaulē.</w:t>
      </w:r>
      <w:r>
        <w:rPr>
          <w:rStyle w:val="Bodytext23"/>
        </w:rPr>
        <w:t xml:space="preserve"> </w:t>
      </w:r>
      <w:r>
        <w:rPr>
          <w:rStyle w:val="Bodytext23"/>
        </w:rPr>
        <w:t xml:space="preserve">Subsīdijas palīdzēs šīm nozarēm augt, un jūsu valstīs radīsies darbvietas (ja vien jums izdosies apsteigt attīstītajās valstīs notiekošo vēja, saules un bateriju tehnoloģiju pilnveidi).</w:t>
      </w:r>
      <w:r>
        <w:rPr>
          <w:rStyle w:val="Bodytext23"/>
        </w:rPr>
        <w:t xml:space="preserve"> </w:t>
      </w:r>
      <w:r>
        <w:rPr>
          <w:rStyle w:val="Bodytext23"/>
        </w:rPr>
        <w:t xml:space="preserve">Uzglabāšana (piemēram, baterijas, siltumenerģijas uzkrāšana, hidroakumulācija) un viedtīklu tehnoloģijas dod iespēju enerģētikas sistēmā integrēt dažāda veida atjaunojamo energoresursu enerģiju, piemēram, vēja un saules enerģiju, un vienlaikus nodrošināt elektroenerģijas piegādi visu diennakti.</w:t>
      </w:r>
      <w:r>
        <w:rPr>
          <w:rStyle w:val="Bodytext23"/>
        </w:rPr>
        <w:t xml:space="preserve"> </w:t>
      </w:r>
      <w:r>
        <w:rPr>
          <w:rStyle w:val="Bodytext23"/>
        </w:rPr>
        <w:t xml:space="preserve">Atjaunojamiem energoresursiem paredzētās subsīdijas, ko maksā attīstītās valstis un strauji augošās jaunietekmes valstis, piemēram, Ķīna, šos enerģijas avotus jums padarīs krietni lētākus un veicinās ekonomikas attīstību.</w:t>
      </w:r>
    </w:p>
    <w:p w:rsidRPr="00FA6E4E" w:rsidR="007D1F4E" w:rsidP="00FA6E4E" w:rsidRDefault="00A067A5">
      <w:pPr>
        <w:pStyle w:val="Bodytext30"/>
        <w:numPr>
          <w:ilvl w:val="0"/>
          <w:numId w:val="1"/>
        </w:numPr>
        <w:shd w:val="clear" w:color="auto" w:fill="auto"/>
        <w:tabs>
          <w:tab w:val="left" w:pos="362"/>
        </w:tabs>
        <w:spacing w:before="0" w:after="120"/>
        <w:ind w:left="400"/>
        <w:rPr>
          <w:b w:val="0"/>
        </w:rPr>
      </w:pPr>
      <w:r>
        <w:t xml:space="preserve">Metāna, dislāpekļa oksīda un citu siltumnīcefekta gāzu emisiju samazināšana.</w:t>
      </w:r>
      <w:r>
        <w:rPr>
          <w:b w:val="0"/>
        </w:rPr>
        <w:t xml:space="preserve"> </w:t>
      </w:r>
      <w:r>
        <w:rPr>
          <w:b w:val="0"/>
        </w:rPr>
        <w:t xml:space="preserve">CO</w:t>
      </w:r>
      <w:r>
        <w:rPr>
          <w:b w:val="0"/>
          <w:vertAlign w:val="subscript"/>
        </w:rPr>
        <w:t xml:space="preserve">2</w:t>
      </w:r>
      <w:r>
        <w:rPr>
          <w:b w:val="0"/>
        </w:rPr>
        <w:t xml:space="preserve"> ir visvairāk zināmā siltumnīcefekta gāze (SEG), taču aptuveni ceturto daļu no globālās sasilšanas izraisa citas gāzes.</w:t>
      </w:r>
      <w:r>
        <w:rPr>
          <w:b w:val="0"/>
        </w:rPr>
        <w:t xml:space="preserve"> </w:t>
      </w:r>
      <w:r>
        <w:rPr>
          <w:b w:val="0"/>
        </w:rPr>
        <w:t xml:space="preserve">Šīs gāzes ir metāns (CH</w:t>
      </w:r>
      <w:r>
        <w:rPr>
          <w:b w:val="0"/>
          <w:vertAlign w:val="subscript"/>
        </w:rPr>
        <w:t xml:space="preserve">4</w:t>
      </w:r>
      <w:r>
        <w:rPr>
          <w:b w:val="0"/>
        </w:rPr>
        <w:t xml:space="preserve">), dislāpekļa oksīds (N</w:t>
      </w:r>
      <w:r>
        <w:rPr>
          <w:b w:val="0"/>
          <w:vertAlign w:val="subscript"/>
        </w:rPr>
        <w:t xml:space="preserve">2</w:t>
      </w:r>
      <w:r>
        <w:rPr>
          <w:b w:val="0"/>
        </w:rPr>
        <w:t xml:space="preserve">O) un vesela virkne fluorogļūdeņražu un citu fluorētu savienojumu (tā saukto F gāzu).</w:t>
      </w:r>
      <w:r>
        <w:rPr>
          <w:b w:val="0"/>
        </w:rPr>
        <w:t xml:space="preserve"> </w:t>
      </w:r>
      <w:r>
        <w:rPr>
          <w:b w:val="0"/>
        </w:rPr>
        <w:t xml:space="preserve">Nākamo simts gadu laikā globālo sasilšanu desmitiem, simtiem un tūkstošiem reižu vairāk nekā CO</w:t>
      </w:r>
      <w:r>
        <w:rPr>
          <w:b w:val="0"/>
          <w:vertAlign w:val="subscript"/>
        </w:rPr>
        <w:t xml:space="preserve">2</w:t>
      </w:r>
      <w:r>
        <w:rPr>
          <w:b w:val="0"/>
        </w:rPr>
        <w:t xml:space="preserve"> maz pamazām veicinās arī daudzas citas gāzes.</w:t>
      </w:r>
      <w:r>
        <w:rPr>
          <w:b w:val="0"/>
        </w:rPr>
        <w:t xml:space="preserve"> </w:t>
      </w:r>
      <w:r>
        <w:rPr>
          <w:b w:val="0"/>
        </w:rPr>
        <w:t xml:space="preserve">Lai gan to koncentrācija ir neliela, tā strauji palielinās.</w:t>
      </w:r>
      <w:r>
        <w:rPr>
          <w:b w:val="0"/>
        </w:rPr>
        <w:t xml:space="preserve"> </w:t>
      </w:r>
      <w:r>
        <w:rPr>
          <w:b w:val="0"/>
        </w:rPr>
        <w:t xml:space="preserve">Lielākā daļa šo emisiju tiek radītas attīstītajās valstīs un strauji augošajās jaunietekmes valstīs.</w:t>
      </w:r>
    </w:p>
    <w:p w:rsidRPr="00FA6E4E" w:rsidR="007D1F4E" w:rsidP="00FA6E4E" w:rsidRDefault="00A067A5">
      <w:pPr>
        <w:pStyle w:val="Bodytext30"/>
        <w:numPr>
          <w:ilvl w:val="0"/>
          <w:numId w:val="1"/>
        </w:numPr>
        <w:shd w:val="clear" w:color="auto" w:fill="auto"/>
        <w:tabs>
          <w:tab w:val="left" w:pos="362"/>
        </w:tabs>
        <w:spacing w:before="0" w:after="120"/>
        <w:ind w:left="400"/>
      </w:pPr>
      <w:r>
        <w:t xml:space="preserve">Atmežošanas samazināšana.</w:t>
      </w:r>
      <w:r>
        <w:rPr>
          <w:b w:val="0"/>
        </w:rPr>
        <w:t xml:space="preserve"> </w:t>
      </w:r>
      <w:r>
        <w:rPr>
          <w:b w:val="0"/>
        </w:rPr>
        <w:t xml:space="preserve">Atmežošana šobrīd rada apmēram 15 % no siltumnīcefekta gāzu emisijām.</w:t>
      </w:r>
      <w:r>
        <w:rPr>
          <w:b w:val="0"/>
        </w:rPr>
        <w:t xml:space="preserve"> </w:t>
      </w:r>
      <w:r>
        <w:rPr>
          <w:b w:val="0"/>
        </w:rPr>
        <w:t xml:space="preserve">Atmežošana ļoti lielā apmērā notiek jūsu valstu tropiskajos mežos, tostarp Amazones baseinā, Dienvidāzijā un Dienvidaustrumāzijā un Āfrikā.</w:t>
      </w:r>
      <w:r>
        <w:rPr>
          <w:b w:val="0"/>
        </w:rPr>
        <w:t xml:space="preserve"> </w:t>
      </w:r>
      <w:r>
        <w:rPr>
          <w:b w:val="0"/>
        </w:rPr>
        <w:t xml:space="preserve">Aizsargājot mežus, var samazināt šīs emisijas un vienlaikus saglabāt bioloģisko daudzveidību un nodrošināt ūdens piegādi.</w:t>
      </w:r>
      <w:r>
        <w:rPr>
          <w:b w:val="0"/>
        </w:rPr>
        <w:t xml:space="preserve"> </w:t>
      </w:r>
      <w:r>
        <w:rPr>
          <w:b w:val="0"/>
        </w:rPr>
        <w:t xml:space="preserve">Tomēr, ierobežojot atmežošanu, samazinās arī iespējas attiecīgo zemi izmantot koksnes, pārtikas un bioenerģijas ieguvei, kā arī citiem svarīgiem mērķiem.</w:t>
      </w:r>
    </w:p>
    <w:p w:rsidRPr="00FA6E4E" w:rsidR="007D1F4E" w:rsidP="00FA6E4E" w:rsidRDefault="00C87E7D">
      <w:pPr>
        <w:pStyle w:val="Bodytext20"/>
        <w:numPr>
          <w:ilvl w:val="0"/>
          <w:numId w:val="1"/>
        </w:numPr>
        <w:shd w:val="clear" w:color="auto" w:fill="auto"/>
        <w:tabs>
          <w:tab w:val="left" w:pos="362"/>
        </w:tabs>
        <w:ind w:left="400"/>
        <w:jc w:val="both"/>
      </w:pPr>
      <w:r>
        <w:rPr>
          <w:rStyle w:val="Bodytext2Bold"/>
        </w:rPr>
        <w:t xml:space="preserve">Apsvērt apmežošanu.</w:t>
      </w:r>
      <w:r>
        <w:rPr>
          <w:rStyle w:val="Bodytext2Bold"/>
        </w:rPr>
        <w:t xml:space="preserve"> </w:t>
      </w:r>
      <w:r>
        <w:t xml:space="preserve">Apmežošana ir jaunu mežu ieaudzēšana zemē, kurā nav koku; dažreiz tā iepriekš ir bijusi atmežota vai noplicināta zeme.</w:t>
      </w:r>
      <w:r>
        <w:t xml:space="preserve"> </w:t>
      </w:r>
      <w:r>
        <w:t xml:space="preserve">Izvēršot apmežošanu plašā mērogā, varētu tikt izmantota zeme, kas vajadzīga kultūraugu vai mājlopu audzēšanai, un tādā veidā celtos pārtikas cenas.</w:t>
      </w:r>
      <w:r>
        <w:t xml:space="preserve"> </w:t>
      </w:r>
      <w:r>
        <w:t xml:space="preserve">Padomājiet, cik daudz zemes būs vajadzīgs jūsu un citu grupu ierosinātajai apmežošanas politikai.</w:t>
      </w:r>
    </w:p>
    <w:p w:rsidRPr="00FA6E4E" w:rsidR="007D1F4E" w:rsidP="00FA6E4E" w:rsidRDefault="00C87E7D">
      <w:pPr>
        <w:pStyle w:val="Bodytext20"/>
        <w:numPr>
          <w:ilvl w:val="0"/>
          <w:numId w:val="1"/>
        </w:numPr>
        <w:shd w:val="clear" w:color="auto" w:fill="auto"/>
        <w:tabs>
          <w:tab w:val="left" w:pos="362"/>
        </w:tabs>
        <w:ind w:left="400"/>
        <w:jc w:val="both"/>
      </w:pPr>
      <w:r>
        <w:rPr>
          <w:rStyle w:val="Bodytext2Bold"/>
        </w:rPr>
        <w:t xml:space="preserve">Apsvērt nodokļu uzlikšanu oglēm.</w:t>
      </w:r>
      <w:r>
        <w:rPr>
          <w:rStyle w:val="Bodytext2Bold"/>
        </w:rPr>
        <w:t xml:space="preserve"> </w:t>
      </w:r>
      <w:r>
        <w:t xml:space="preserve">Daudzas no jūsu grupas valstīm joprojām būvē jaunas ogļu raktuves un ar tām darbināmas spēkstacijas, lai gan ogles ir oglekļietilpīgākais kurināmais un rada arī lielu gaisa piesārņojumu, kas pašlaik kaitē daudziem miljoniem cilvēku jūsu valstīs.</w:t>
      </w:r>
      <w:r>
        <w:t xml:space="preserve"> </w:t>
      </w:r>
      <w:r>
        <w:t xml:space="preserve">Nodokļu uzlikšana, regulēšana vai pat ogļu izmantošanas pārtraukšana nekavējoties apturētu emisijas, samazinātu bīstamu gaisa piesārņojumu un uzlabotu sabiedrības veselību.</w:t>
      </w:r>
    </w:p>
    <w:p w:rsidRPr="00FA6E4E" w:rsidR="007D1F4E" w:rsidP="00FA6E4E" w:rsidRDefault="00E65821">
      <w:pPr>
        <w:pStyle w:val="Bodytext20"/>
        <w:numPr>
          <w:ilvl w:val="0"/>
          <w:numId w:val="1"/>
        </w:numPr>
        <w:shd w:val="clear" w:color="auto" w:fill="auto"/>
        <w:tabs>
          <w:tab w:val="left" w:pos="362"/>
        </w:tabs>
        <w:ind w:left="400"/>
        <w:jc w:val="both"/>
      </w:pPr>
      <w:r>
        <w:rPr>
          <w:b/>
        </w:rPr>
        <w:t xml:space="preserve">Apsvērt maksas noteikšanu CO</w:t>
      </w:r>
      <w:r>
        <w:rPr>
          <w:b/>
          <w:vertAlign w:val="subscript"/>
        </w:rPr>
        <w:t xml:space="preserve">2</w:t>
      </w:r>
      <w:r>
        <w:rPr>
          <w:b/>
        </w:rPr>
        <w:t xml:space="preserve"> emisijām.</w:t>
      </w:r>
      <w:r>
        <w:t xml:space="preserve"> </w:t>
      </w:r>
      <w:r>
        <w:t xml:space="preserve">Pasaules enerģētikas sistēmā joprojām dominē fosilais kurināmais, un tā izdalītais CO</w:t>
      </w:r>
      <w:r>
        <w:rPr>
          <w:vertAlign w:val="subscript"/>
        </w:rPr>
        <w:t xml:space="preserve">2</w:t>
      </w:r>
      <w:r>
        <w:t xml:space="preserve"> veido vislielāko daļu siltumnīcefekta gāzu emisiju, kuras veicina klimata pārmaiņas.</w:t>
      </w:r>
      <w:r>
        <w:t xml:space="preserve"> </w:t>
      </w:r>
      <w:r>
        <w:t xml:space="preserve">Pašlaik tirgus cenās nav ietverts videi un sociālajai jomai nodarītais kaitējums, kura cēlonis ir fosilais kurināmais (tā negatīvā blakusietekme).</w:t>
      </w:r>
      <w:r>
        <w:t xml:space="preserve"> </w:t>
      </w:r>
      <w:r>
        <w:t xml:space="preserve">Situāciju vēl vairāk pasliktina tas, ka valdības visā pasaulē un arī daudzas jūsu pārstāvēto valstu valdības katru gadu fosilā kurināmā rūpniecībai piešķir subsīdijas, kuru apmērs var būt no 775 miljardiem līdz 1 triljonam ASV dolāru.</w:t>
      </w:r>
      <w:r>
        <w:t xml:space="preserve"> </w:t>
      </w:r>
      <w:r>
        <w:t xml:space="preserve">Ekonomisti ir vienisprātis, ka labākais veids globālo SEG emisiju samazināšanai ir maksas noteikšana oglekļa emisijām.</w:t>
      </w:r>
      <w:r>
        <w:t xml:space="preserve"> </w:t>
      </w:r>
      <w:r>
        <w:t xml:space="preserve">Apsveriet, vai varētu visā pasaulē noteikt maksu par oglekli un kā to varētu pakāpeniski ieviest, lai būtu laiks pielāgoties.</w:t>
      </w:r>
    </w:p>
    <w:p w:rsidRPr="00FA6E4E" w:rsidR="007D1F4E" w:rsidP="00FA6E4E" w:rsidRDefault="00C87E7D">
      <w:pPr>
        <w:pStyle w:val="Bodytext20"/>
        <w:shd w:val="clear" w:color="auto" w:fill="auto"/>
        <w:ind w:left="400" w:firstLine="0"/>
        <w:jc w:val="both"/>
      </w:pPr>
      <w:r>
        <w:t xml:space="preserve">Šie ienākumi varētu nonākt sabiedrības rīcībā vai citu politikas pasākumu izmaksu ierobežošanai.</w:t>
      </w:r>
      <w:r>
        <w:t xml:space="preserve"> </w:t>
      </w:r>
      <w:r>
        <w:t xml:space="preserve">Lai gan dažās valstīs ir ieviesta maksa par oglekli, tā ir nesalīdzināmi zemāka par daudzu ekonomistu ieteikto cenu, t. i., vismaz 30–50 ASV dolāri par CO</w:t>
      </w:r>
      <w:r>
        <w:rPr>
          <w:vertAlign w:val="subscript"/>
        </w:rPr>
        <w:t xml:space="preserve">2</w:t>
      </w:r>
      <w:r>
        <w:t xml:space="preserve"> tonnu.</w:t>
      </w:r>
      <w:r>
        <w:t xml:space="preserve"> </w:t>
      </w:r>
      <w:r>
        <w:t xml:space="preserve">Tomēr jūs nevarat rīkoties sasteigti — jūsu valstī sabiedrības vidusslānis ar grūtībām var atļauties produktus un pakalpojumus, kurus attīstīto valstu iedzīvotāji uzskata par pašsaprotamiem, — automašīnas, gaisa kondicionēšanu, ceļošanu ar lidmašīnu u. c. Nabadzīgie valsts iedzīvotāji, kuri vēlētos drošu elektroapgādi, tīru ūdeni, pārtiku, veselības aprūpi, pienācīgu mājokli un gribētu apmierināt citas pamatvajadzības, enerģijas cenas palielināšanos izjutīs visvairāk.</w:t>
      </w:r>
    </w:p>
    <w:p w:rsidR="0033065F" w:rsidP="00FA6E4E" w:rsidRDefault="0033065F">
      <w:pPr>
        <w:pStyle w:val="Bodytext50"/>
        <w:shd w:val="clear" w:color="auto" w:fill="auto"/>
        <w:spacing w:before="0"/>
        <w:rPr>
          <w:lang w:val="en-GB"/>
        </w:rPr>
      </w:pPr>
    </w:p>
    <w:p w:rsidRPr="00FA6E4E" w:rsidR="007D1F4E" w:rsidP="00FA6E4E" w:rsidRDefault="00C87E7D">
      <w:pPr>
        <w:pStyle w:val="Bodytext50"/>
        <w:shd w:val="clear" w:color="auto" w:fill="auto"/>
        <w:spacing w:before="0"/>
      </w:pPr>
      <w:r>
        <w:t xml:space="preserve">Papildu apsvērumi</w:t>
      </w:r>
    </w:p>
    <w:p w:rsidRPr="00FA6E4E" w:rsidR="007D1F4E" w:rsidP="00FA6E4E" w:rsidRDefault="00C87E7D">
      <w:pPr>
        <w:pStyle w:val="Bodytext20"/>
        <w:shd w:val="clear" w:color="auto" w:fill="auto"/>
        <w:ind w:firstLine="0"/>
        <w:jc w:val="both"/>
      </w:pPr>
      <w:r>
        <w:t xml:space="preserve">Daudziem jūsu valstu iedzīvotājiem nav iespējas izmantot elektrību vai tās piegāde ir nestabila un dārga.</w:t>
      </w:r>
      <w:r>
        <w:t xml:space="preserve"> </w:t>
      </w:r>
      <w:r>
        <w:t xml:space="preserve">Kopā jūsu valstis pašlaik rada tikai aptuveni 24 % globālo siltumnīcefekta gāzu emisiju, un, rēķinot pēc emisijām uz iedzīvotāju, jūsu valstu rādītāji ir zemāki nekā attīstīto valstu vai pat Ķīnas rādītāji.</w:t>
      </w:r>
      <w:r>
        <w:t xml:space="preserve"> </w:t>
      </w:r>
      <w:r>
        <w:t xml:space="preserve">Tomēr līdz ar ekonomikas attīstību jūsu valstīs strauji pieaug fosilā kurināmā izmantošana.</w:t>
      </w:r>
      <w:r>
        <w:t xml:space="preserve"> </w:t>
      </w:r>
      <w:r>
        <w:t xml:space="preserve">Lielāko daļu siltumnīcefekta gāzu emisiju, kas ir izraisījušas klimata krīzi, ir radījušas attīstītās valstis, bet no klimata pārmaiņām visvairāk cietīs jūsu valstu iedzīvotāji, kuru spēja tām pielāgoties ir daudz mazāka.</w:t>
      </w:r>
      <w:r>
        <w:t xml:space="preserve"> </w:t>
      </w:r>
      <w:r>
        <w:t xml:space="preserve">Pēc jūsu domām, attīstītās valstis ir morāli atbildīgas par savu emisiju samazināšanu un ir nepieņemami, ka klimata pārmaiņu novēršanas politika varētu palēnināt jūsu ekonomikas attīstību un spēju nodrošināt cilvēkiem pārtiku, darbu, mājokli, izglītību, veselības aprūpi un apmierināt citas pamatvajadzības, kas attīstītajās valstīs tiek uzskatītas par pašsaprotamām.</w:t>
      </w:r>
    </w:p>
    <w:p w:rsidRPr="00FA6E4E" w:rsidR="007D1F4E" w:rsidP="00FA6E4E" w:rsidRDefault="00C87E7D">
      <w:pPr>
        <w:pStyle w:val="Bodytext20"/>
        <w:shd w:val="clear" w:color="auto" w:fill="auto"/>
        <w:ind w:firstLine="0"/>
        <w:jc w:val="both"/>
      </w:pPr>
      <w:r>
        <w:t xml:space="preserve">Tomēr klimata pārmaiņas ievērojami apdraud jūsu iedzīvotāju labklājību, veselību un dzīvību.</w:t>
      </w:r>
      <w:r>
        <w:t xml:space="preserve"> </w:t>
      </w:r>
      <w:r>
        <w:t xml:space="preserve">Fosilā kurināmā radītais gaisa piesārņojums jūsu valstīs katru gadu izraisa daudzu miljonu cilvēku priekšlaicīgu nāvi.</w:t>
      </w:r>
      <w:r>
        <w:t xml:space="preserve"> </w:t>
      </w:r>
      <w:r>
        <w:t xml:space="preserve">Jūras līmeņa celšanās, ekstremāli laikapstākļi, sausuma periodi, kultūraugu ražas samazināšanās un citas klimata pārmaiņu izraisītas problēmas rada arvien vairāk konfliktu un veicina migrāciju, kas apdraud jūsu valstu valdību leģitimitāti un pat dažu mazu salu valstu eksistenci.</w:t>
      </w:r>
      <w:r>
        <w:t xml:space="preserve"> </w:t>
      </w:r>
      <w:r>
        <w:t xml:space="preserve">Jūsu valstīm ir iespēja izlaist fosilā kurināmā enerģijas sistēmas posmu un uzreiz ieviest tīru, efektīvu atjaunojamo energoresursu enerģijas sistēmu līdzīgi kā daudzas no jūsu valstīm ir pārlēkušas fiksēto tālruņu posmam un uzreiz ieviesušas mobilo tālruņu sistēmu.</w:t>
      </w:r>
      <w:r>
        <w:t xml:space="preserve"> </w:t>
      </w:r>
      <w:r>
        <w:t xml:space="preserve">Energoefektivitāte un tādi atjaunojamie energoresursi kā saules un vēja enerģija bieži vien ir rentabli, rada darbvietas un ekonomiskās darbības iespējas, kā arī uzlabo sabiedrības veselību.</w:t>
      </w:r>
    </w:p>
    <w:p w:rsidRPr="00FA6E4E" w:rsidR="00F367C3" w:rsidP="00FA6E4E" w:rsidRDefault="00F367C3">
      <w:pPr>
        <w:spacing w:after="120"/>
        <w:jc w:val="center"/>
      </w:pPr>
      <w:r>
        <w:t xml:space="preserve">_____________</w:t>
      </w:r>
    </w:p>
    <w:p w:rsidRPr="00F367C3" w:rsidR="00F367C3" w:rsidRDefault="00F367C3">
      <w:pPr>
        <w:pStyle w:val="Bodytext20"/>
        <w:shd w:val="clear" w:color="auto" w:fill="auto"/>
        <w:ind w:firstLine="0"/>
        <w:jc w:val="both"/>
        <w:rPr>
          <w:lang w:val="en-GB"/>
        </w:rPr>
      </w:pPr>
    </w:p>
    <w:sectPr w:rsidRPr="00F367C3" w:rsidR="00F367C3" w:rsidSect="00FA6E4E">
      <w:footerReference w:type="default" r:id="rId9"/>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4E3B" w:rsidRDefault="00C87E7D">
      <w:r>
        <w:separator/>
      </w:r>
    </w:p>
  </w:endnote>
  <w:endnote w:type="continuationSeparator" w:id="0">
    <w:p w:rsidR="00AD4E3B" w:rsidRDefault="00C87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67C3" w:rsidRPr="00FA6E4E" w:rsidRDefault="00F367C3">
    <w:pPr>
      <w:pStyle w:val="Footer"/>
      <w:rPr>
        <w:i/>
        <w:sz w:val="20"/>
        <w:szCs w:val="20"/>
      </w:rPr>
    </w:pPr>
    <w:r>
      <w:rPr>
        <w:i/>
        <w:sz w:val="20"/>
        <w:szCs w:val="20"/>
      </w:rPr>
      <w:t xml:space="preserve">Izstrādātāji: Climate Interactive, MIT Sloan School of Management Sustainability Initiative, ESB Business School un UMass Lowell Climate Change Initiative.</w:t>
    </w:r>
    <w:r>
      <w:rPr>
        <w:i/>
        <w:sz w:val="20"/>
        <w:szCs w:val="20"/>
      </w:rPr>
      <w:t xml:space="preserve"> </w:t>
    </w:r>
    <w:r>
      <w:rPr>
        <w:i/>
        <w:sz w:val="20"/>
        <w:szCs w:val="20"/>
      </w:rPr>
      <w:t xml:space="preserve">Pēdējo reizi atjaunināts 2019. gada septembrī.</w:t>
    </w:r>
    <w:r>
      <w:rPr>
        <w:i/>
        <w:sz w:val="20"/>
        <w:szCs w:val="20"/>
      </w:rPr>
      <w:t xml:space="preserve"> </w:t>
    </w:r>
    <w:hyperlink r:id="rId1" w:history="1">
      <w:r>
        <w:rPr>
          <w:i/>
          <w:sz w:val="20"/>
          <w:szCs w:val="20"/>
        </w:rPr>
        <w:t xml:space="preserve">www.cllmatelnteractlve.org</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1F4E" w:rsidRDefault="007D1F4E"/>
  </w:footnote>
  <w:footnote w:type="continuationSeparator" w:id="0">
    <w:p w:rsidR="007D1F4E" w:rsidRDefault="007D1F4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AB7F66"/>
    <w:multiLevelType w:val="multilevel"/>
    <w:tmpl w:val="82160A1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erle Koppel">
    <w15:presenceInfo w15:providerId="None" w15:userId="Merle Koppel"/>
  </w15:person>
  <w15:person w15:author="Helen Toomey">
    <w15:presenceInfo w15:providerId="None" w15:userId="Helen Toome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
  <w:rsids>
    <w:rsidRoot w:val="007D1F4E"/>
    <w:rsid w:val="000478B6"/>
    <w:rsid w:val="00114C61"/>
    <w:rsid w:val="0033065F"/>
    <w:rsid w:val="00345F9F"/>
    <w:rsid w:val="00363BF1"/>
    <w:rsid w:val="003A2E5D"/>
    <w:rsid w:val="003F232F"/>
    <w:rsid w:val="00486689"/>
    <w:rsid w:val="005F7717"/>
    <w:rsid w:val="0063415F"/>
    <w:rsid w:val="006C020C"/>
    <w:rsid w:val="007120A5"/>
    <w:rsid w:val="00791C4B"/>
    <w:rsid w:val="007A17D4"/>
    <w:rsid w:val="007A2EE5"/>
    <w:rsid w:val="007D1F4E"/>
    <w:rsid w:val="008C0530"/>
    <w:rsid w:val="008C1937"/>
    <w:rsid w:val="00905CB5"/>
    <w:rsid w:val="009163DF"/>
    <w:rsid w:val="009F352F"/>
    <w:rsid w:val="00A067A5"/>
    <w:rsid w:val="00A17A2C"/>
    <w:rsid w:val="00A34C83"/>
    <w:rsid w:val="00A60D06"/>
    <w:rsid w:val="00A95053"/>
    <w:rsid w:val="00AD4E3B"/>
    <w:rsid w:val="00B8781E"/>
    <w:rsid w:val="00BA4467"/>
    <w:rsid w:val="00C87E7D"/>
    <w:rsid w:val="00D10989"/>
    <w:rsid w:val="00DC3A12"/>
    <w:rsid w:val="00E65821"/>
    <w:rsid w:val="00F367C3"/>
    <w:rsid w:val="00FA6E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lv-LV"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lv-LV"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lv-LV"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lv-LV" w:eastAsia="en-US" w:bidi="en-US"/>
    </w:rPr>
  </w:style>
  <w:style w:type="character" w:customStyle="1" w:styleId="Bodytext3NotBold">
    <w:name w:val="Body text|3 + Not Bold"/>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lv-LV" w:eastAsia="en-US" w:bidi="en-US"/>
    </w:rPr>
  </w:style>
  <w:style w:type="character" w:customStyle="1" w:styleId="Bodytext365pt">
    <w:name w:val="Body text|3 + 6.5 pt"/>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lv-LV" w:eastAsia="en-US" w:bidi="en-US"/>
    </w:rPr>
  </w:style>
  <w:style w:type="character" w:customStyle="1" w:styleId="Bodytext265ptBold">
    <w:name w:val="Body text|2 + 6.5 pt;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lv-LV"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lv-LV"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Bold0">
    <w:name w:val="Body text|2 + Bold"/>
    <w:basedOn w:val="Bodytext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lv-LV"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0" w:line="402" w:lineRule="exact"/>
      <w:jc w:val="center"/>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0" w:line="269" w:lineRule="exact"/>
      <w:ind w:hanging="400"/>
      <w:jc w:val="both"/>
    </w:pPr>
    <w:rPr>
      <w:b/>
      <w:bCs/>
      <w:sz w:val="22"/>
      <w:szCs w:val="22"/>
    </w:rPr>
  </w:style>
  <w:style w:type="paragraph" w:customStyle="1" w:styleId="Bodytext20">
    <w:name w:val="Body text|2"/>
    <w:basedOn w:val="Normal"/>
    <w:link w:val="Bodytext2"/>
    <w:qFormat/>
    <w:pPr>
      <w:shd w:val="clear" w:color="auto" w:fill="FFFFFF"/>
      <w:spacing w:after="120" w:line="269" w:lineRule="exact"/>
      <w:ind w:hanging="400"/>
    </w:pPr>
    <w:rPr>
      <w:sz w:val="22"/>
      <w:szCs w:val="22"/>
    </w:rPr>
  </w:style>
  <w:style w:type="paragraph" w:customStyle="1" w:styleId="Bodytext40">
    <w:name w:val="Body text|4"/>
    <w:basedOn w:val="Normal"/>
    <w:link w:val="Bodytext4"/>
    <w:pPr>
      <w:shd w:val="clear" w:color="auto" w:fill="FFFFFF"/>
      <w:spacing w:before="44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F367C3"/>
    <w:pPr>
      <w:tabs>
        <w:tab w:val="center" w:pos="4513"/>
        <w:tab w:val="right" w:pos="9026"/>
      </w:tabs>
    </w:pPr>
  </w:style>
  <w:style w:type="character" w:customStyle="1" w:styleId="HeaderChar">
    <w:name w:val="Header Char"/>
    <w:basedOn w:val="DefaultParagraphFont"/>
    <w:link w:val="Header"/>
    <w:uiPriority w:val="99"/>
    <w:rsid w:val="00F367C3"/>
    <w:rPr>
      <w:color w:val="000000"/>
    </w:rPr>
  </w:style>
  <w:style w:type="paragraph" w:styleId="Footer">
    <w:name w:val="footer"/>
    <w:basedOn w:val="Normal"/>
    <w:link w:val="FooterChar"/>
    <w:uiPriority w:val="99"/>
    <w:unhideWhenUsed/>
    <w:rsid w:val="00F367C3"/>
    <w:pPr>
      <w:tabs>
        <w:tab w:val="center" w:pos="4513"/>
        <w:tab w:val="right" w:pos="9026"/>
      </w:tabs>
    </w:pPr>
  </w:style>
  <w:style w:type="character" w:customStyle="1" w:styleId="FooterChar">
    <w:name w:val="Footer Char"/>
    <w:basedOn w:val="DefaultParagraphFont"/>
    <w:link w:val="Footer"/>
    <w:uiPriority w:val="99"/>
    <w:rsid w:val="00F367C3"/>
    <w:rPr>
      <w:color w:val="000000"/>
    </w:rPr>
  </w:style>
  <w:style w:type="paragraph" w:styleId="BalloonText">
    <w:name w:val="Balloon Text"/>
    <w:basedOn w:val="Normal"/>
    <w:link w:val="BalloonTextChar"/>
    <w:uiPriority w:val="99"/>
    <w:semiHidden/>
    <w:unhideWhenUsed/>
    <w:rsid w:val="00FA6E4E"/>
    <w:rPr>
      <w:rFonts w:ascii="Tahoma" w:hAnsi="Tahoma" w:cs="Tahoma"/>
      <w:sz w:val="16"/>
      <w:szCs w:val="16"/>
    </w:rPr>
  </w:style>
  <w:style w:type="character" w:customStyle="1" w:styleId="BalloonTextChar">
    <w:name w:val="Balloon Text Char"/>
    <w:basedOn w:val="DefaultParagraphFont"/>
    <w:link w:val="BalloonText"/>
    <w:uiPriority w:val="99"/>
    <w:semiHidden/>
    <w:rsid w:val="00FA6E4E"/>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en-US"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en-US"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en-US" w:eastAsia="en-US" w:bidi="en-US"/>
    </w:rPr>
  </w:style>
  <w:style w:type="character" w:customStyle="1" w:styleId="Bodytext3NotBold">
    <w:name w:val="Body text|3 + Not Bold"/>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Bodytext365pt">
    <w:name w:val="Body text|3 + 6.5 pt"/>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en-US" w:eastAsia="en-US" w:bidi="en-US"/>
    </w:rPr>
  </w:style>
  <w:style w:type="character" w:customStyle="1" w:styleId="Bodytext265ptBold">
    <w:name w:val="Body text|2 + 6.5 pt;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en-US"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Bold0">
    <w:name w:val="Body text|2 + Bold"/>
    <w:basedOn w:val="Bodytext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en-US"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0" w:line="402" w:lineRule="exact"/>
      <w:jc w:val="center"/>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0" w:line="269" w:lineRule="exact"/>
      <w:ind w:hanging="400"/>
      <w:jc w:val="both"/>
    </w:pPr>
    <w:rPr>
      <w:b/>
      <w:bCs/>
      <w:sz w:val="22"/>
      <w:szCs w:val="22"/>
    </w:rPr>
  </w:style>
  <w:style w:type="paragraph" w:customStyle="1" w:styleId="Bodytext20">
    <w:name w:val="Body text|2"/>
    <w:basedOn w:val="Normal"/>
    <w:link w:val="Bodytext2"/>
    <w:qFormat/>
    <w:pPr>
      <w:shd w:val="clear" w:color="auto" w:fill="FFFFFF"/>
      <w:spacing w:after="120" w:line="269" w:lineRule="exact"/>
      <w:ind w:hanging="400"/>
    </w:pPr>
    <w:rPr>
      <w:sz w:val="22"/>
      <w:szCs w:val="22"/>
    </w:rPr>
  </w:style>
  <w:style w:type="paragraph" w:customStyle="1" w:styleId="Bodytext40">
    <w:name w:val="Body text|4"/>
    <w:basedOn w:val="Normal"/>
    <w:link w:val="Bodytext4"/>
    <w:pPr>
      <w:shd w:val="clear" w:color="auto" w:fill="FFFFFF"/>
      <w:spacing w:before="44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F367C3"/>
    <w:pPr>
      <w:tabs>
        <w:tab w:val="center" w:pos="4513"/>
        <w:tab w:val="right" w:pos="9026"/>
      </w:tabs>
    </w:pPr>
  </w:style>
  <w:style w:type="character" w:customStyle="1" w:styleId="HeaderChar">
    <w:name w:val="Header Char"/>
    <w:basedOn w:val="DefaultParagraphFont"/>
    <w:link w:val="Header"/>
    <w:uiPriority w:val="99"/>
    <w:rsid w:val="00F367C3"/>
    <w:rPr>
      <w:color w:val="000000"/>
    </w:rPr>
  </w:style>
  <w:style w:type="paragraph" w:styleId="Footer">
    <w:name w:val="footer"/>
    <w:basedOn w:val="Normal"/>
    <w:link w:val="FooterChar"/>
    <w:uiPriority w:val="99"/>
    <w:unhideWhenUsed/>
    <w:rsid w:val="00F367C3"/>
    <w:pPr>
      <w:tabs>
        <w:tab w:val="center" w:pos="4513"/>
        <w:tab w:val="right" w:pos="9026"/>
      </w:tabs>
    </w:pPr>
  </w:style>
  <w:style w:type="character" w:customStyle="1" w:styleId="FooterChar">
    <w:name w:val="Footer Char"/>
    <w:basedOn w:val="DefaultParagraphFont"/>
    <w:link w:val="Footer"/>
    <w:uiPriority w:val="99"/>
    <w:rsid w:val="00F367C3"/>
    <w:rPr>
      <w:color w:val="000000"/>
    </w:rPr>
  </w:style>
  <w:style w:type="paragraph" w:styleId="BalloonText">
    <w:name w:val="Balloon Text"/>
    <w:basedOn w:val="Normal"/>
    <w:link w:val="BalloonTextChar"/>
    <w:uiPriority w:val="99"/>
    <w:semiHidden/>
    <w:unhideWhenUsed/>
    <w:rsid w:val="00FA6E4E"/>
    <w:rPr>
      <w:rFonts w:ascii="Tahoma" w:hAnsi="Tahoma" w:cs="Tahoma"/>
      <w:sz w:val="16"/>
      <w:szCs w:val="16"/>
    </w:rPr>
  </w:style>
  <w:style w:type="character" w:customStyle="1" w:styleId="BalloonTextChar">
    <w:name w:val="Balloon Text Char"/>
    <w:basedOn w:val="DefaultParagraphFont"/>
    <w:link w:val="BalloonText"/>
    <w:uiPriority w:val="99"/>
    <w:semiHidden/>
    <w:rsid w:val="00FA6E4E"/>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footer1.xml.rels>&#65279;<?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CTJJHAUHWN5E-644613129-2947</_dlc_DocId>
    <_dlc_DocIdUrl xmlns="bfc960a6-20da-4c94-8684-71380fca093b">
      <Url>http://dm2016/eesc/2019/_layouts/15/DocIdRedir.aspx?ID=CTJJHAUHWN5E-644613129-2947</Url>
      <Description>CTJJHAUHWN5E-644613129-2947</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2019-12-10T12:00:00+00:00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162</Value>
      <Value>72</Value>
      <Value>246</Value>
      <Value>154</Value>
      <Value>64</Value>
      <Value>63</Value>
      <Value>62</Value>
      <Value>60</Value>
      <Value>59</Value>
      <Value>58</Value>
      <Value>56</Value>
      <Value>55</Value>
      <Value>52</Value>
      <Value>49</Value>
      <Value>48</Value>
      <Value>46</Value>
      <Value>45</Value>
      <Value>38</Value>
      <Value>65</Value>
      <Value>153</Value>
      <Value>25</Value>
      <Value>21</Value>
      <Value>17</Value>
      <Value>16</Value>
      <Value>152</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LV</TermName>
          <TermId xmlns="http://schemas.microsoft.com/office/infopath/2007/PartnerControls">46f7e311-5d9f-4663-b433-18aeccb7ace7</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11389</FicheNumber>
    <DocumentPart xmlns="bfc960a6-20da-4c94-8684-71380fca093b">6</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2.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309D8E-C550-4820-A319-A8D202DDCAEC}"/>
</file>

<file path=customXml/itemProps2.xml><?xml version="1.0" encoding="utf-8"?>
<ds:datastoreItem xmlns:ds="http://schemas.openxmlformats.org/officeDocument/2006/customXml" ds:itemID="{05273DB8-0087-416C-9BEA-398293C44D0D}"/>
</file>

<file path=customXml/itemProps3.xml><?xml version="1.0" encoding="utf-8"?>
<ds:datastoreItem xmlns:ds="http://schemas.openxmlformats.org/officeDocument/2006/customXml" ds:itemID="{D070887A-CDFB-4DAA-95E9-AF927925E939}"/>
</file>

<file path=customXml/itemProps4.xml><?xml version="1.0" encoding="utf-8"?>
<ds:datastoreItem xmlns:ds="http://schemas.openxmlformats.org/officeDocument/2006/customXml" ds:itemID="{367D2D33-1D2F-4EE1-9FAB-E51540730CF3}"/>
</file>

<file path=docProps/app.xml><?xml version="1.0" encoding="utf-8"?>
<Properties xmlns="http://schemas.openxmlformats.org/officeDocument/2006/extended-properties" xmlns:vt="http://schemas.openxmlformats.org/officeDocument/2006/docPropsVTypes">
  <Template>Styles</Template>
  <TotalTime>30</TotalTime>
  <Pages>2</Pages>
  <Words>1140</Words>
  <Characters>6503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7628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"Jūsu Eiropa, jūsu lēmumi 2020" - Darba dokuments - VIB grupa - Jaunattīstības valstis (II)</dc:title>
  <cp:keywords>EESC-2019-05163-06-00-INFO-TRA-EN</cp:keywords>
  <dc:description>Rapporteur:  - Original language: EN - Date of document: 10/12/2019 - Date of meeting:  - External documents:  - Administrator: MME LAHOUSSE Chloé</dc:description>
  <cp:lastModifiedBy>TDriveSVCUserProd</cp:lastModifiedBy>
  <cp:revision>23</cp:revision>
  <dcterms:created xsi:type="dcterms:W3CDTF">2019-11-15T11:00:00Z</dcterms:created>
  <dcterms:modified xsi:type="dcterms:W3CDTF">2019-11-15T11:37:00Z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11:30:13, 11:18:43</vt:lpwstr>
  </property>
  <property fmtid="{D5CDD505-2E9C-101B-9397-08002B2CF9AE}" pid="5" name="Pref_User">
    <vt:lpwstr>mkop, htoo</vt:lpwstr>
  </property>
  <property fmtid="{D5CDD505-2E9C-101B-9397-08002B2CF9AE}" pid="6" name="Pref_FileName">
    <vt:lpwstr>EESC-2019-05163-06-00-INFO-TRA-EN-CRR.docx, EESC-2019-05163-06-00-INFO-CRR-EN.docx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2d90abed-086d-4d3c-94fe-f6520c190ab2</vt:lpwstr>
  </property>
  <property fmtid="{D5CDD505-2E9C-101B-9397-08002B2CF9AE}" pid="9" name="AvailableTranslations">
    <vt:lpwstr>52;#DA|5d49c027-8956-412b-aa16-e85a0f96ad0e;#72;#GA|762d2456-c427-4ecb-b312-af3dad8e258c;#56;#SL|98a412ae-eb01-49e9-ae3d-585a81724cfc;#59;#HR|2f555653-ed1a-4fe6-8362-9082d95989e5;#48;#LT|a7ff5ce7-6123-4f68-865a-a57c31810414;#162;#TR|6e4ededd-04c4-4fa0-94e0-1028050302d5;#21;#IT|0774613c-01ed-4e5d-a25d-11d2388de825;#63;#MT|7df99101-6854-4a26-b53a-b88c0da02c26;#60;#HU|6b229040-c589-4408-b4c1-4285663d20a8;#45;#NL|55c6556c-b4f4-441d-9acf-c498d4f838bd;#25;#SK|46d9fce0-ef79-4f71-b89b-cd6aa82426b8;#14;#DE|f6b31e5a-26fa-4935-b661-318e46daf27e;#64;#PT|50ccc04a-eadd-42ae-a0cb-acaf45f812ba;#16;#PL|1e03da61-4678-4e07-b136-b5024ca9197b;#246;#ME|925b3da5-5ac0-4b3c-928c-6ef66a5c9b3c;#38;#SV|c2ed69e7-a339-43d7-8f22-d93680a92aa0;#154;#SQ|5ac17240-8d11-45ec-9893-659b209d7a00;#55;#BG|1a1b3951-7821-4e6a-85f5-5673fc08bd2c;#46;#CS|72f9705b-0217-4fd3-bea2-cbc7ed80e26e;#62;#FI|87606a43-d45f-42d6-b8c9-e1a3457db5b7;#153;#SR|7f3a1d13-b985-4bfd-981e-afe31377edff;#65;#ET|ff6c3f4c-b02c-4c3c-ab07-2c37995a7a0a;#17;#ES|e7a6b05b-ae16-40c8-add9-68b64b03aeba;#4;#EN|f2175f21-25d7-44a3-96da-d6a61b075e1b;#49;#EL|6d4f4d51-af9b-4650-94b4-4276bee85c91;#152;#MK|34ce48bb-063e-4413-a932-50853dc71c5c;#58;#LV|46f7e311-5d9f-4663-b433-18aeccb7ace7;#10;#FR|d2afafd3-4c81-4f60-8f52-ee33f2f54ff3</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6</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DA|5d49c027-8956-412b-aa16-e85a0f96ad0e;GA|762d2456-c427-4ecb-b312-af3dad8e258c;SL|98a412ae-eb01-49e9-ae3d-585a81724cfc;HR|2f555653-ed1a-4fe6-8362-9082d95989e5;TR|6e4ededd-04c4-4fa0-94e0-1028050302d5;IT|0774613c-01ed-4e5d-a25d-11d2388de825;MT|7df99101-6854-4a26-b53a-b88c0da02c26;NL|55c6556c-b4f4-441d-9acf-c498d4f838bd;SK|46d9fce0-ef79-4f71-b89b-cd6aa82426b8;PT|50ccc04a-eadd-42ae-a0cb-acaf45f812ba;PL|1e03da61-4678-4e07-b136-b5024ca9197b;ME|925b3da5-5ac0-4b3c-928c-6ef66a5c9b3c;SV|c2ed69e7-a339-43d7-8f22-d93680a92aa0;SQ|5ac17240-8d11-45ec-9893-659b209d7a00;BG|1a1b3951-7821-4e6a-85f5-5673fc08bd2c;CS|72f9705b-0217-4fd3-bea2-cbc7ed80e26e;FI|87606a43-d45f-42d6-b8c9-e1a3457db5b7;SR|7f3a1d13-b985-4bfd-981e-afe31377edff;ES|e7a6b05b-ae16-40c8-add9-68b64b03aeba;EN|f2175f21-25d7-44a3-96da-d6a61b075e1b;EL|6d4f4d51-af9b-4650-94b4-4276bee85c91;MK|34ce48bb-063e-4413-a932-50853dc71c5c</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162;#TR|6e4ededd-04c4-4fa0-94e0-1028050302d5;#72;#GA|762d2456-c427-4ecb-b312-af3dad8e258c;#246;#ME|925b3da5-5ac0-4b3c-928c-6ef66a5c9b3c;#154;#SQ|5ac17240-8d11-45ec-9893-659b209d7a00;#64;#PT|50ccc04a-eadd-42ae-a0cb-acaf45f812ba;#63;#MT|7df99101-6854-4a26-b53a-b88c0da02c26;#62;#FI|87606a43-d45f-42d6-b8c9-e1a3457db5b7;#59;#HR|2f555653-ed1a-4fe6-8362-9082d95989e5;#56;#SL|98a412ae-eb01-49e9-ae3d-585a81724cfc;#55;#BG|1a1b3951-7821-4e6a-85f5-5673fc08bd2c;#52;#DA|5d49c027-8956-412b-aa16-e85a0f96ad0e;#49;#EL|6d4f4d51-af9b-4650-94b4-4276bee85c91;#46;#CS|72f9705b-0217-4fd3-bea2-cbc7ed80e26e;#45;#NL|55c6556c-b4f4-441d-9acf-c498d4f838bd;#38;#SV|c2ed69e7-a339-43d7-8f22-d93680a92aa0;#153;#SR|7f3a1d13-b985-4bfd-981e-afe31377edff;#25;#SK|46d9fce0-ef79-4f71-b89b-cd6aa82426b8;#21;#IT|0774613c-01ed-4e5d-a25d-11d2388de825;#17;#ES|e7a6b05b-ae16-40c8-add9-68b64b03aeba;#16;#PL|1e03da61-4678-4e07-b136-b5024ca9197b;#152;#MK|34ce48bb-063e-4413-a932-50853dc71c5c;#11;#INFO|d9136e7c-93a9-4c42-9d28-92b61e85f80c;#7;#Final|ea5e6674-7b27-4bac-b091-73adbb394efe;#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11389</vt:i4>
  </property>
  <property fmtid="{D5CDD505-2E9C-101B-9397-08002B2CF9AE}" pid="37" name="DocumentLanguage">
    <vt:lpwstr>58;#LV|46f7e311-5d9f-4663-b433-18aeccb7ace7</vt:lpwstr>
  </property>
</Properties>
</file>